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spacing w:after="36" w:before="3" w:line="322" w:lineRule="auto"/>
        <w:ind w:left="177" w:right="-177" w:firstLine="0"/>
        <w:jc w:val="center"/>
        <w:rPr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Региональная общественная организация</w:t>
      </w:r>
      <w:r w:rsidDel="00000000" w:rsidR="00000000" w:rsidRPr="00000000">
        <w:rPr>
          <w:sz w:val="32"/>
          <w:szCs w:val="32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585216</wp:posOffset>
            </wp:positionH>
            <wp:positionV relativeFrom="page">
              <wp:posOffset>353568</wp:posOffset>
            </wp:positionV>
            <wp:extent cx="896112" cy="1543811"/>
            <wp:effectExtent b="0" l="0" r="0" t="0"/>
            <wp:wrapNone/>
            <wp:docPr descr="Логотип Федерации компьютерного спорта города Москвы из исходного PDF" id="2" name="image1.png"/>
            <a:graphic>
              <a:graphicData uri="http://schemas.openxmlformats.org/drawingml/2006/picture">
                <pic:pic>
                  <pic:nvPicPr>
                    <pic:cNvPr descr="Логотип Федерации компьютерного спорта города Москвы из исходного PDF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6112" cy="154381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after="386" w:before="0" w:line="322" w:lineRule="auto"/>
        <w:ind w:left="178" w:right="-178" w:firstLine="0"/>
        <w:jc w:val="center"/>
        <w:rPr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«Федерация компьютерного спорта города Москвы»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spacing w:after="26" w:before="0" w:line="322" w:lineRule="auto"/>
        <w:ind w:left="0" w:right="1" w:firstLine="0"/>
        <w:jc w:val="center"/>
        <w:rPr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Технические правила TEKKEN 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spacing w:after="1070" w:before="0" w:line="322" w:lineRule="auto"/>
        <w:ind w:left="179" w:right="-179" w:firstLine="0"/>
        <w:jc w:val="center"/>
        <w:rPr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МСКЛ+, 6 сезон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widowControl w:val="1"/>
        <w:numPr>
          <w:ilvl w:val="0"/>
          <w:numId w:val="1"/>
        </w:numPr>
        <w:spacing w:after="320" w:before="0" w:line="240" w:lineRule="auto"/>
        <w:ind w:left="0" w:firstLine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Коммуникация и взаимодействие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Коммуникация между командами и судьями, координация проводимых матчей происходит на официальном telegram-сервере МСКЛ+, 6 сезон | TEKKEN 8.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widowControl w:val="1"/>
        <w:numPr>
          <w:ilvl w:val="0"/>
          <w:numId w:val="1"/>
        </w:numPr>
        <w:spacing w:after="320" w:before="0" w:line="240" w:lineRule="auto"/>
        <w:ind w:left="0" w:firstLine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Формат проведения матчей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Матч проходит между двумя участниками. Все матчи Соревнований проводятся онлайн в формате Bo5 – до 3-х побед. Гранд-финал 6 декабря 2026 года проходит в формате Bo5 в одну серию, без преимущества команды (участника) верхней сетки и без повторной серии.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Лобби создается игроком, находящейся в верхней ячейке турнирной сетки. Если по какой-то причине игрок, находящейся в верхней ячейке турнирной ячейки не может создать лобби — это необходимо сделать его оппоненту, если оба участника не могут создать лобби матча и тем самым задерживают турнирную сетку в целом, то судьи вправе применить санкции к обеим командам.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widowControl w:val="1"/>
        <w:numPr>
          <w:ilvl w:val="1"/>
          <w:numId w:val="1"/>
        </w:numPr>
        <w:tabs>
          <w:tab w:val="left" w:leader="none" w:pos="1080"/>
        </w:tabs>
        <w:spacing w:after="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Игровые настройки лобби: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Версия игры: PC/Steam;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Раунды – 2 из 3 (для этапа Дивизионов) и 3 из 5 (для этапа Плей-офф и гранд-финала);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Время раунда – 60 секунд;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1"/>
        <w:numPr>
          <w:ilvl w:val="0"/>
          <w:numId w:val="2"/>
        </w:numPr>
        <w:spacing w:after="32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Арена – Случайная арена;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Участник, который создал лобби, обязан предоставить данные от лобби своему оппоненту. Данные от лобби передаются в закрытом формате, в личные сообщения. Вся остальная коммуникация происходит на официальном telegram-сервере МСКЛ+, 6 сезон | TEKKEN 8.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Выбор сторон (P1/P2) осуществляется самими участниками перед началом боя.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 участники не могут самостоятельно или по обоюдному согласию определить стороны, тогда распределение происходит путём использования «эмодзи-кубика» в telegram. Оба игрока отправляют друг другу в личные сообщения «эмодзи-кубик» и сравнивают числа на верхних гранях. Игрок команды с большим выпавшим числом получает право выбора стороны.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лобби игры могут находиться только участники матча, судьи и официальные стримеры.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Запрещена кастомизация персонажей. Судьи по ходу Соревнования могут дополнительно устанавливать или снимать ограничения на использование тех или иных персонажей.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widowControl w:val="1"/>
        <w:numPr>
          <w:ilvl w:val="1"/>
          <w:numId w:val="1"/>
        </w:numPr>
        <w:tabs>
          <w:tab w:val="left" w:leader="none" w:pos="1080"/>
        </w:tabs>
        <w:spacing w:after="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Игроки обязаны соблюдать следующие правила по выбору персонажей и арены: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Перед началом первого матча каждый игрок выбирает персонажа, а арена выбирается случайным образом;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После выигранного сета, победитель не имеет право менять персонажа;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1"/>
        <w:numPr>
          <w:ilvl w:val="0"/>
          <w:numId w:val="2"/>
        </w:numPr>
        <w:spacing w:after="32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Проигравший имеет право сменить персонажа, при этом арена выбирается случайным образом.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случае завершения игры вничью (Double K.O), текущий сет должен быть переигран полностью, с сохранением выбранных персонажей и арены.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Разрешено назначать любые комбинации кнопок на одну кнопку («hotkeys», «button mapping») через меню игры. Назначение кнопок с использованием сторонних программ или аппаратных решений запрещено.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Участники могут использовать любые контроллеры (геймпады, джойстики и т.п.) и сами несут ответственность за их совместимость и работоспособность.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Выбор персонажей и настройка управления осуществляется самими участниками перед началом серии. Участники несут полную ответственность за выполнение всех настроек и проверок до начала матча.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После окончания матча, победитель обязан отправить результаты в специальный раздел Telegram-сервера турнира («Результаты матчей»). Результаты матча должны быть отправлены не позднее, чем через 10 минут после окончания матча. Результаты, отправленные с задержкой более чем в 10 минут и/или отправленные не по образцу, приравниваются к нарушению правил.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Замены разрешены только между матчами турнира. Замены по ходу матча/серии/сета запрещены. Команды обязаны оповещать судей турнира о планируемых заменах в матче не позднее, чем за 30 минут до официального времени начала матча.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Все матчи каждого тура должны быть сыграны в указанный в расписании промежуток времени, в соответствии с Единой системой расписания (ЕСР). Любые изменения возможны только по согласованию с судейской коллегией. К команде (участнику), не явившейся в установленное время, будут применены санкции, согласно Общему регламенту Соревнования.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1"/>
        <w:widowControl w:val="1"/>
        <w:numPr>
          <w:ilvl w:val="0"/>
          <w:numId w:val="1"/>
        </w:numPr>
        <w:spacing w:after="320" w:before="0" w:line="240" w:lineRule="auto"/>
        <w:ind w:left="0" w:firstLine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Паузы в игре, дисконнекты, переигровки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spacing w:after="32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«Дисконнектом» считается любой разрыв сетевого соединения во время матча из-за неполадок в системе, сети, компьютера, проблем с напряжением и т.п.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1"/>
        <w:spacing w:after="32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Условия для переигровки: переигровка карты возможна лишь по решению ГСК, удовлетворившего требования претендующей на переигровку команды. Решение о переигровке выносится только после полного разбора и анализа сложившейся ситуации.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spacing w:after="32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Санкции за дисконнект: Игрок, отключившийся от игры, имеет право вернутся в игру, при наличии такой возможности.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1"/>
        <w:spacing w:after="32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 случился общий дисконнект всех игроков с сервера и обратно подключиться невозможно, то в таком матче будет назначена переигровка вне зависимости от ситуации во время игры. Переигровка не будет назначена только в том случае, если одна из команд признает поражение и откажется переигрывать матч.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1"/>
        <w:spacing w:after="32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Переигровка происходит на тех же персонажах и на той же арене, которые были выбраны на момент возникновения прецедента.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1"/>
        <w:spacing w:after="32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любых других случаях решение о назначении переигровки выносит ГСК после разбора сложившейся ситуации.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Паузы в игре запрещены.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Игрок получает поражение в текущем раунде в случае случайной или намеренной приостановки матча.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случае приостановки матча по причине, не зависящей от игрока (непреднамеренное закрытие игры, сбой аппаратного или программного обеспечения ПК, из-за которого игроки не могут продолжить матч), судья отдаёт распоряжение о его переигровке.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1"/>
        <w:numPr>
          <w:ilvl w:val="2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Переигровка происходит с сохранением счета по выигранным раундам, если таковые имелись на момент приостановки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случае возникновения технических неполадок у игроков участник обязан сообщить об этой проблеме судье. При сообщении технической проблемы после завершения матча она не рассматривается и не может быть причиной пересмотра результатов.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Организатор турнира не несет ответственность за техническое состояние принадлежащих участнику устройств.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При грубом нарушении игры судья может аннулировать счет игры. По решению судьи может быть назначена переигровка карты/матча или техническое поражение в серии.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Участники турнира обязаны незамедлительно оповещать судей о всех спорных моментах, не описанных в Технических правилах и/или Регламенте соревнования. Если игроки команды оповестили судью турнира о какой-либо проблеме только после окончания матча – это может расцениваться, как попытка повлиять на исход матча обманным путём.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Протесты и апелляции. Все протесты и апелляции необходимо направлять судьям либо во время матча, либо в течение 20 минут после его завершения и/или после вынесения решения матчевым судьей. Протесты и апелляции, отправленные позже установленного срока и/или не по образцу – рассмотрению не подлежат.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1"/>
        <w:widowControl w:val="1"/>
        <w:numPr>
          <w:ilvl w:val="0"/>
          <w:numId w:val="1"/>
        </w:numPr>
        <w:spacing w:after="320" w:before="0" w:line="240" w:lineRule="auto"/>
        <w:ind w:left="0" w:firstLine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Перечень запрещённых действий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Запрещенными признаются любые действия, прямо противоречащие Регламенту Соревнований. Полный и актуальный список запрещенных действий описан в Регламенте Соревнований.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Любые действия, предполагающие моральное давление и негативный контекст относительно оппонентов в момент игры (использования словосочетаний gg, wp, gh; «ошибочная» постановка пауз перед/после фрагов и пр.)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общего чата в матче (допускается общение во время пауз, с целью обозначить/узнать положение дел касаемо технических и других проблем участников матча).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1"/>
        <w:widowControl w:val="1"/>
        <w:numPr>
          <w:ilvl w:val="1"/>
          <w:numId w:val="1"/>
        </w:numPr>
        <w:tabs>
          <w:tab w:val="left" w:leader="none" w:pos="1080"/>
        </w:tabs>
        <w:spacing w:after="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Запрещенные приемы нечестной игры: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любых сторонних программ; программ, влияющих на игровой процесс, или дающих игроку любые дополнительные сведения о положении дел противника;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Подглядывание трансляции или получение подсказок от третьих лиц.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багов игры.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1"/>
        <w:numPr>
          <w:ilvl w:val="0"/>
          <w:numId w:val="2"/>
        </w:numPr>
        <w:spacing w:after="32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назначение кнопок с использованием сторонних программ или аппаратных решений (в т.ч. макросов, программируемых контроллеров и функции турбо-кнопок).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 игрок нашел любой новый нечестный способ повлиять на ход игры или получить игровое преимущество, и данный момент не регламентирован и произошел впервые, это дает право ГСК дисквалифицировать игрока без предупреждения и наказать игрока на свое усмотрение и в зависимости от тяжести нарушения.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Ввод в заблуждение судейской коллегии путем обмана и различных махинаций.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Намеренный разрыв соединения с сервером. Намеренным разрывом соединения считается таковой без основательных и явным образом указанных причин.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Все Игроки должны использовать одну учетную запись, указанную в заявке. Игровой ник также не может отличаться от указанного в заявке.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1"/>
        <w:widowControl w:val="1"/>
        <w:numPr>
          <w:ilvl w:val="1"/>
          <w:numId w:val="1"/>
        </w:numPr>
        <w:tabs>
          <w:tab w:val="left" w:leader="none" w:pos="1080"/>
        </w:tabs>
        <w:spacing w:after="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ненормативной лексики, оскорблений, завуалированных выражений с негативным подтекстом в любой формулировке и виде в адрес оппонентов/судей/администрации и других участников соревнований: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игровом чате;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названии команд;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названии лобби;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1"/>
        <w:numPr>
          <w:ilvl w:val="0"/>
          <w:numId w:val="2"/>
        </w:numPr>
        <w:spacing w:after="32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на любых официальных ресурсах и серверах МСКЛ+.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1"/>
        <w:widowControl w:val="1"/>
        <w:numPr>
          <w:ilvl w:val="1"/>
          <w:numId w:val="1"/>
        </w:numPr>
        <w:tabs>
          <w:tab w:val="left" w:leader="none" w:pos="1080"/>
        </w:tabs>
        <w:spacing w:after="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Организатор оставляет за собой право не допустить Участника/Команду, а ГСК – дисквалифицировать Участника/Команду, если название их игровых имен (никнеймов) или название Команд: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защищены авторскими правами третьей стороны (кроме случаев наличия у таких Участников лицензий и иных юридических документов, разрешающих иметь такое название и/или никнейм);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сходны или идентичны названиям и/или никнеймам других Участников или команд Турнира;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сходны или идентичны названиям и/или никнеймам официальных лиц Турнира;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сходны или идентичны именам и/или прозвищам любых публичных политических или религиозных деятелей;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имеют нецензурное, непристойное или оскорбительное значение и символику;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имеют завуалированное оскорбительное, нецензурное, или непристойное значение (в том числе на иностранных языках);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1"/>
        <w:numPr>
          <w:ilvl w:val="0"/>
          <w:numId w:val="2"/>
        </w:numPr>
        <w:spacing w:after="32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мешают внутриигровому процессу, или процессу комментирования матчей.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134" w:top="1134" w:left="1702" w:right="84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 "/>
      <w:lvlJc w:val="left"/>
      <w:pPr>
        <w:ind w:left="0" w:firstLine="0"/>
      </w:pPr>
      <w:rPr>
        <w:rFonts w:ascii="Times New Roman" w:cs="Times New Roman" w:eastAsia="Times New Roman" w:hAnsi="Times New Roman"/>
        <w:b w:val="1"/>
        <w:bCs w:val="1"/>
        <w:sz w:val="28"/>
        <w:szCs w:val="28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</w:abstractNum>
  <w:abstractNum w:abstractNumId="2">
    <w:lvl w:ilvl="0">
      <w:start w:val="1"/>
      <w:numFmt w:val="bullet"/>
      <w:lvlText w:val="•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Times New Roman" w:cs="Times New Roman" w:eastAsia="Times New Roman" w:hAnsi="Times New Roman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color w:val="4f81bd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color w:val="4f81bd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i w:val="1"/>
      <w:iCs w:val="1"/>
      <w:color w:val="4f81bd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color w:val="243f61"/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i w:val="1"/>
      <w:iCs w:val="1"/>
      <w:color w:val="243f61"/>
      <w:sz w:val="28"/>
      <w:szCs w:val="28"/>
    </w:rPr>
  </w:style>
  <w:style w:type="paragraph" w:styleId="Title">
    <w:name w:val="Title"/>
    <w:basedOn w:val="Normal"/>
    <w:next w:val="Normal"/>
    <w:pPr>
      <w:spacing w:after="300" w:line="240" w:lineRule="auto"/>
    </w:pPr>
    <w:rPr>
      <w:rFonts w:ascii="Times New Roman" w:cs="Times New Roman" w:eastAsia="Times New Roman" w:hAnsi="Times New Roman"/>
      <w:color w:val="17365d"/>
      <w:sz w:val="28"/>
      <w:szCs w:val="28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HeaderChar" w:customStyle="1">
    <w:name w:val="Header Char"/>
    <w:basedOn w:val="DefaultParagraphFont"/>
    <w:link w:val="Header"/>
    <w:uiPriority w:val="99"/>
    <w:rsid w:val="00E618BF"/>
    <w:rPr>
      <w:rFonts w:ascii="Times New Roman" w:cs="Times New Roman" w:eastAsia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FooterChar" w:customStyle="1">
    <w:name w:val="Footer Char"/>
    <w:basedOn w:val="DefaultParagraphFont"/>
    <w:link w:val="Footer"/>
    <w:uiPriority w:val="99"/>
    <w:rsid w:val="00E618BF"/>
    <w:rPr>
      <w:rFonts w:ascii="Times New Roman" w:cs="Times New Roman" w:eastAsia="Times New Roman" w:hAnsi="Times New Roman"/>
      <w:sz w:val="28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="Times New Roman" w:cs="Times New Roman" w:eastAsia="Times New Roman" w:hAnsi="Times New Roman"/>
      <w:color w:val="4f81bd" w:themeColor="accent1"/>
      <w:sz w:val="28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rPr>
      <w:rFonts w:ascii="Times New Roman" w:cs="Times New Roman" w:eastAsia="Times New Roman" w:hAnsi="Times New Roman"/>
      <w:sz w:val="28"/>
    </w:rPr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="Times New Roman" w:cs="Times New Roman" w:eastAsia="Times New Roman" w:hAnsi="Times New Roman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="Times New Roman" w:cs="Times New Roman" w:eastAsia="Times New Roman" w:hAnsi="Times New Roman"/>
      <w:b w:val="1"/>
      <w:bCs w:val="1"/>
      <w:color w:val="4f81bd" w:themeColor="accent1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="Times New Roman" w:cs="Times New Roman" w:eastAsia="Times New Roman" w:hAnsi="Times New Roman"/>
      <w:b w:val="1"/>
      <w:bCs w:val="1"/>
      <w:color w:val="4f81bd" w:themeColor="accent1"/>
      <w:sz w:val="28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="Times New Roman" w:cs="Times New Roman" w:eastAsia="Times New Roman" w:hAnsi="Times New Roman"/>
      <w:color w:val="17365d" w:themeColor="text2" w:themeShade="0000BF"/>
      <w:spacing w:val="5"/>
      <w:kern w:val="28"/>
      <w:sz w:val="28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="Times New Roman" w:cs="Times New Roman" w:eastAsia="Times New Roman" w:hAnsi="Times New Roman"/>
      <w:i w:val="1"/>
      <w:iCs w:val="1"/>
      <w:color w:val="4f81bd" w:themeColor="accent1"/>
      <w:spacing w:val="15"/>
      <w:sz w:val="28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  <w:rPr>
      <w:rFonts w:ascii="Times New Roman" w:cs="Times New Roman" w:eastAsia="Times New Roman" w:hAnsi="Times New Roman"/>
      <w:sz w:val="28"/>
    </w:rPr>
  </w:style>
  <w:style w:type="character" w:styleId="BodyTextChar" w:customStyle="1">
    <w:name w:val="Body Text Char"/>
    <w:basedOn w:val="DefaultParagraphFont"/>
    <w:link w:val="BodyText"/>
    <w:uiPriority w:val="99"/>
    <w:rsid w:val="00AA1D8D"/>
    <w:rPr>
      <w:rFonts w:ascii="Times New Roman" w:cs="Times New Roman" w:eastAsia="Times New Roman" w:hAnsi="Times New Roman"/>
      <w:sz w:val="28"/>
    </w:rPr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  <w:rPr>
      <w:rFonts w:ascii="Times New Roman" w:cs="Times New Roman" w:eastAsia="Times New Roman" w:hAnsi="Times New Roman"/>
      <w:sz w:val="28"/>
    </w:rPr>
  </w:style>
  <w:style w:type="character" w:styleId="BodyText2Char" w:customStyle="1">
    <w:name w:val="Body Text 2 Char"/>
    <w:basedOn w:val="DefaultParagraphFont"/>
    <w:link w:val="BodyText2"/>
    <w:uiPriority w:val="99"/>
    <w:rsid w:val="00AA1D8D"/>
    <w:rPr>
      <w:rFonts w:ascii="Times New Roman" w:cs="Times New Roman" w:eastAsia="Times New Roman" w:hAnsi="Times New Roman"/>
      <w:sz w:val="28"/>
    </w:rPr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rFonts w:ascii="Times New Roman" w:cs="Times New Roman" w:eastAsia="Times New Roman" w:hAnsi="Times New Roman"/>
      <w:sz w:val="28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rFonts w:ascii="Times New Roman" w:cs="Times New Roman" w:eastAsia="Times New Roman" w:hAnsi="Times New Roman"/>
      <w:sz w:val="28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cs="Times New Roman" w:eastAsia="Times New Roman" w:hAnsi="Times New Roman"/>
      <w:sz w:val="28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Times New Roman" w:cs="Times New Roman" w:eastAsia="Times New Roman" w:hAnsi="Times New Roman"/>
      <w:sz w:val="28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rFonts w:ascii="Times New Roman" w:cs="Times New Roman" w:eastAsia="Times New Roman" w:hAnsi="Times New Roman"/>
      <w:i w:val="1"/>
      <w:iCs w:val="1"/>
      <w:color w:val="000000" w:themeColor="text1"/>
      <w:sz w:val="28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rFonts w:ascii="Times New Roman" w:cs="Times New Roman" w:eastAsia="Times New Roman" w:hAnsi="Times New Roman"/>
      <w:i w:val="1"/>
      <w:iCs w:val="1"/>
      <w:color w:val="000000" w:themeColor="text1"/>
      <w:sz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="Times New Roman" w:cs="Times New Roman" w:eastAsia="Times New Roman" w:hAnsi="Times New Roman"/>
      <w:color w:val="243f60" w:themeColor="accent1" w:themeShade="00007F"/>
      <w:sz w:val="28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243f60" w:themeColor="accent1" w:themeShade="00007F"/>
      <w:sz w:val="28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="Times New Roman" w:cs="Times New Roman" w:eastAsia="Times New Roman" w:hAnsi="Times New Roman"/>
      <w:color w:val="4f81bd" w:themeColor="accent1"/>
      <w:sz w:val="28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rFonts w:ascii="Times New Roman" w:cs="Times New Roman" w:eastAsia="Times New Roman" w:hAnsi="Times New Roman"/>
      <w:b w:val="1"/>
      <w:bCs w:val="1"/>
      <w:color w:val="4f81bd" w:themeColor="accent1"/>
      <w:sz w:val="2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rFonts w:ascii="Times New Roman" w:cs="Times New Roman" w:eastAsia="Times New Roman" w:hAnsi="Times New Roman"/>
      <w:b w:val="1"/>
      <w:bCs w:val="1"/>
      <w:sz w:val="28"/>
    </w:rPr>
  </w:style>
  <w:style w:type="character" w:styleId="Emphasis">
    <w:name w:val="Emphasis"/>
    <w:basedOn w:val="DefaultParagraphFont"/>
    <w:uiPriority w:val="20"/>
    <w:qFormat w:val="1"/>
    <w:rsid w:val="00FC693F"/>
    <w:rPr>
      <w:rFonts w:ascii="Times New Roman" w:cs="Times New Roman" w:eastAsia="Times New Roman" w:hAnsi="Times New Roman"/>
      <w:i w:val="1"/>
      <w:iCs w:val="1"/>
      <w:sz w:val="28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spacing w:after="280" w:before="200"/>
      <w:ind w:left="936" w:right="936"/>
    </w:pPr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rFonts w:ascii="Times New Roman" w:cs="Times New Roman" w:eastAsia="Times New Roman" w:hAnsi="Times New Roman"/>
      <w:i w:val="1"/>
      <w:iCs w:val="1"/>
      <w:color w:val="808080" w:themeColor="text1" w:themeTint="00007F"/>
      <w:sz w:val="28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rFonts w:ascii="Times New Roman" w:cs="Times New Roman" w:eastAsia="Times New Roman" w:hAnsi="Times New Roman"/>
      <w:smallCaps w:val="1"/>
      <w:color w:val="c0504d" w:themeColor="accent2"/>
      <w:sz w:val="28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rFonts w:ascii="Times New Roman" w:cs="Times New Roman" w:eastAsia="Times New Roman" w:hAnsi="Times New Roman"/>
      <w:b w:val="1"/>
      <w:bCs w:val="1"/>
      <w:smallCaps w:val="1"/>
      <w:color w:val="c0504d" w:themeColor="accent2"/>
      <w:spacing w:val="5"/>
      <w:sz w:val="28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rFonts w:ascii="Times New Roman" w:cs="Times New Roman" w:eastAsia="Times New Roman" w:hAnsi="Times New Roman"/>
      <w:b w:val="1"/>
      <w:bCs w:val="1"/>
      <w:smallCaps w:val="1"/>
      <w:spacing w:val="5"/>
      <w:sz w:val="28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  <w:rPr>
      <w:rFonts w:ascii="Times New Roman" w:cs="Times New Roman" w:eastAsia="Times New Roman" w:hAnsi="Times New Roman"/>
      <w:sz w:val="28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Times New Roman" w:cs="Times New Roman" w:eastAsia="Times New Roman" w:hAnsi="Times New Roman"/>
      <w:i w:val="1"/>
      <w:iCs w:val="1"/>
      <w:color w:val="4f81bd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S5EfZQP/KdHRXEqUVHd9BHiZfA==">CgMxLjA4AHIhMW5PdzdpZUJpd0h3dEJQcjFIclpZZ2xEX094bnR5WjRH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</cp:coreProperties>
</file>