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spacing w:after="0" w:before="45" w:line="368" w:lineRule="auto"/>
        <w:ind w:left="206" w:right="-206" w:firstLine="0"/>
        <w:jc w:val="center"/>
        <w:rPr/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Региональная общественная организация</w:t>
      </w: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851916</wp:posOffset>
            </wp:positionH>
            <wp:positionV relativeFrom="page">
              <wp:posOffset>830579</wp:posOffset>
            </wp:positionV>
            <wp:extent cx="896111" cy="1543811"/>
            <wp:effectExtent b="0" l="0" r="0" t="0"/>
            <wp:wrapNone/>
            <wp:docPr descr="Логотип Федерации компьютерного спорта города Москвы из исходного PDF" id="2" name="image1.png"/>
            <a:graphic>
              <a:graphicData uri="http://schemas.openxmlformats.org/drawingml/2006/picture">
                <pic:pic>
                  <pic:nvPicPr>
                    <pic:cNvPr descr="Логотип Федерации компьютерного спорта города Москвы из исходного PDF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96111" cy="154381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after="2" w:before="0" w:line="368" w:lineRule="auto"/>
        <w:ind w:left="345" w:right="-345" w:firstLine="0"/>
        <w:jc w:val="center"/>
        <w:rPr/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«Федерация компьютерного спорта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города Москвы»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spacing w:after="736" w:before="0" w:line="368" w:lineRule="auto"/>
        <w:ind w:left="108" w:right="-108" w:firstLine="0"/>
        <w:jc w:val="center"/>
        <w:rPr/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Технические правила StarCraft 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spacing w:after="339" w:before="0" w:line="368" w:lineRule="auto"/>
        <w:ind w:left="-5" w:right="5" w:firstLine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МСКЛ+, 6 сезон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widowControl w:val="1"/>
        <w:numPr>
          <w:ilvl w:val="0"/>
          <w:numId w:val="1"/>
        </w:numPr>
        <w:spacing w:after="320" w:before="0" w:line="240" w:lineRule="auto"/>
        <w:ind w:left="0" w:firstLine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Коммуникация и взаимодействие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Коммуникация между командами и судьями, координация проводимых матчей происходит на официальном telegram-сервере МСКЛ+, 6 сезон | Starcraft II.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widowControl w:val="1"/>
        <w:numPr>
          <w:ilvl w:val="0"/>
          <w:numId w:val="1"/>
        </w:numPr>
        <w:spacing w:after="320" w:before="0" w:line="240" w:lineRule="auto"/>
        <w:ind w:left="0" w:firstLine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Формат проведения матчей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Матч проходит между двумя участниками. Все матчи Соревнований проводятся онлайн в формате Bo5 – до 3-х побед. Гранд-финал 6 декабря 2026 года проходит в формате Bo5 в одну серию, без преимущества команды (участника) верхней сетки и без повторной серии.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Все матчи проводятся на сервере Европы в режиме Своя игра, Схватка.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Настройки сетевой игры: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Модификация – WCS GameHeart;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Категория – схватка;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Режим – 1х1;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Время матча – бесконечно;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Скорость игры – очень быстро;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1"/>
        <w:numPr>
          <w:ilvl w:val="0"/>
          <w:numId w:val="2"/>
        </w:numPr>
        <w:tabs>
          <w:tab w:val="left" w:leader="none" w:pos="1416"/>
        </w:tabs>
        <w:spacing w:after="32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Анонимность – без порядка действий.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Все матчи соревнования проводятся на следующих картах: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Mothership LE;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Winter Madness LE;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Celestial Enclave LE;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Ruby Rock LE;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10000 Feet LE;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Taito Citadel LE;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Old Republic LE;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Tourmaline LE;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1"/>
        <w:numPr>
          <w:ilvl w:val="0"/>
          <w:numId w:val="2"/>
        </w:numPr>
        <w:tabs>
          <w:tab w:val="left" w:leader="none" w:pos="1416"/>
        </w:tabs>
        <w:spacing w:after="32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White Rabbit LE;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Лобби создается игроком, находящейся в верхней ячейке турнирной сетки. Если по какой-то причине игрок, находящейся в верхней ячейке турнирной ячейки не может создать лобби — это необходимо сделать его оппоненту, если оба участника не могут создать лобби матча и тем самым задерживают турнирную сетку в целом, то судьи вправе применить санкции к обоим участникам.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Участник, который создал лобби, обязан предоставить данные от лобби своему оппоненту. Данные от лобби передаются в закрытом формате, в личные сообщения. Вся остальная коммуникация происходит на официальном telegram-сервере МСКЛ+, 6 сезон | Starcraft II.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лобби игры могут находиться только участники матча, судьи и официальные стримеры.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Игрок, который присоединится к лобби, обязуется проверить настройки лобби на предмет соответствия правилам турнира. В противном случае – претензии, относительно некорректных настроек лобби, выявленных во время или после игры – приниматься не будут.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Порядок выбора карт и сторон. Участник, находящийся выше по сетке - далее игрок «А». Участник, находящийся ниже по сетке - далее игрок «B». Ниже приведен порядок действий.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1"/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Порядок определения карт в формате Bo5: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Первый бан карты - игрок 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Второй бан карты - игрок 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Третий бан карты - игрок 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Четвертый бан карты - игрок 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Выбор первой карты - игрок 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Выбор второй карты - игрок 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Выбор третьей карты - игрок 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Выбор четвертой карты - игрок 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1"/>
        <w:numPr>
          <w:ilvl w:val="0"/>
          <w:numId w:val="2"/>
        </w:numPr>
        <w:tabs>
          <w:tab w:val="left" w:leader="none" w:pos="1416"/>
        </w:tabs>
        <w:spacing w:after="32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Пятой картой играется последняя оставшаяся в мап-пуле карта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После окончания матча, победитель обязан отправить результаты в специальный раздел Telegram-сервера турнира («Результаты матчей»). Результаты матча должны быть отправлены не позднее, чем через 10 минут после окончания матча. Результаты, отправленные с задержкой более чем в 10 минут и/или отправленные не по образцу, приравниваются к нарушению правил.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Все матчи каждого тура должны быть сыграны в указанный в расписании промежуток времени, в соответствии с Единой системой расписания (ЕСР). Любые изменения возможны только по согласованию с судейской коллегией. К команде (участнику), не явившейся в установленное время, будут применены санкции, согласно Общему регламенту Соревнования.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1"/>
        <w:widowControl w:val="1"/>
        <w:numPr>
          <w:ilvl w:val="0"/>
          <w:numId w:val="1"/>
        </w:numPr>
        <w:spacing w:after="320" w:before="0" w:line="240" w:lineRule="auto"/>
        <w:ind w:left="0" w:firstLine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Паузы в игре, дисконнекты, переигровки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1"/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«Дисконнектом» считается любой разрыв сетевого соединения во время матча из-за неполадок в системе, сети, компьютера, проблем с напряжением и т.п.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1"/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Условия для переигровки: переигровка карты возможна лишь по решению ГСК, удовлетворившего требования претендующей на переигровку команды. Решение о переигровке выносится только после полного разбора и анализа сложившейся ситуации.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1"/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Санкции за дисконнект: Игрок, отключившийся от игры, имеет право вернуться в игру, при наличии такой возможности. Если случился общий дисконнект обоих игроков с сервера и обратно подключиться невозможно, то в таком матче будет назначена переигровка вне зависимости от ситуации во время игры. Переигровка не будет назначена только в том случае, если один из участников признает поражение и откажется переигрывать матч.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1"/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Переигровка происходит за те же фракции и на той же карте, которые были выбраны во время начала матча.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1"/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любых других случаях решение о назначении переигровки выносит ГСК после разбора сложившейся ситуации.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Каждый игрок имеет право на использование 1-ой технической паузы общей длительностью не более пяти минут. Общая продолжительность паузы может быть увеличена судьёй турнира в экстренных случаях.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случае возникновения технических неполадок у игроков, игрок может использовать для их решения техническую паузу. Если проблема со стороны игрока так и не будет решена, то по окончании паузы матч продолжается.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1"/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Игроки вправе останавливать игру только по указанным ниже причинам и должны незамедлительно сообщить соперникам причину паузы. К допустимым причинам относятся следующие: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неисправность оборудования или проблема с программным обеспечением (например, проблемы с питанием монитора, выход из строя периферийных устройств)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1"/>
        <w:numPr>
          <w:ilvl w:val="0"/>
          <w:numId w:val="2"/>
        </w:numPr>
        <w:tabs>
          <w:tab w:val="left" w:leader="none" w:pos="1416"/>
        </w:tabs>
        <w:spacing w:after="32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резкое ухудшение здоровья у одного из игроков.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Перед снятием паузы необходимо уведомить противника и узнать о готовности оппонентов продолжать игру.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Если один из участников снял паузу без предупреждения противника и/или его подтверждения, это может расцениваться как нарушение правил. При повторном нарушении – участнику, снявшему паузу, может быть присвоено техническое поражение.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Если противник превысил время - снимать паузу без уведомления и их разрешения нельзя. Необходимо сообщить о нарушении судье.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случае возникновения технических неполадок у игроков участник обязан сообщить об этой проблеме судье. При сообщении технической проблемы после завершения матча она не рассматривается и не может быть причиной пересмотра результатов.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случае непреднамеренного разрыва соединения у одного из игроков, матч восстанавливается из реплея со времени разрыва соединения и продолжается.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Организатор турнира не несет ответственность за техническое состояние принадлежащих участнику устройств/компьютера/ноутбука.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При грубом нарушении игры судья может аннулировать счет игры. По решению судьи может быть назначена переигровка карты/матча или техническое поражение в серии.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Участники турнира обязаны незамедлительно оповещать судей о всех спорных моментах, не описанных в Технических правилах и/или Регламенте соревнования. Если игроки команды оповестили судью турнира о какой-либо проблеме только после окончания матча – это может расцениваться, как попытка повлиять на исход матча обманным путём.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Протесты и апелляции. Все протесты и апелляции необходимо направлять судьям либо во время матча, либо в течение 20 минут после его завершения и/или после вынесения решения матчевым судьей. Протесты и апелляции, отправленные позже установленного срока и/или не по образцу – рассмотрению не подлежат.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1"/>
        <w:widowControl w:val="1"/>
        <w:numPr>
          <w:ilvl w:val="0"/>
          <w:numId w:val="1"/>
        </w:numPr>
        <w:spacing w:after="320" w:before="0" w:line="240" w:lineRule="auto"/>
        <w:ind w:left="0" w:firstLine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Перечень запрещённых действий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Запрещенными признаются любые действия, прямо противоречащие Регламенту Соревнований. Полный и актуальный список запрещенных действий описан в Регламенте Соревнований.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Любые действия, предполагающие моральное давление и негативный контекст относительно оппонентов во время матча (провокационное использования словосочетаний gg, wp, gh, не «ошибочная» постановка пауз перед/после фрагов и пр.)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общего чата в матче (допускается общение во время пауз, с целью обозначить/узнать положение дел касаемо технических и других проблем участников матча).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1"/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Запрещенные приемы нечестной игры: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любых сторонних программ; программ, влияющих на игровой процесс, или дающих игроку любые дополнительные сведения о положении дел противника (мапхак, программы помощи в микроконтроле и др.);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Подглядывание трансляции или получение подсказок от третьих лиц.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widowControl w:val="1"/>
        <w:numPr>
          <w:ilvl w:val="0"/>
          <w:numId w:val="2"/>
        </w:numPr>
        <w:tabs>
          <w:tab w:val="left" w:leader="none" w:pos="1416"/>
        </w:tabs>
        <w:spacing w:after="32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багов игры;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Неспортивное поведение (оскорбления, досрочный выход из матча, провокационные действия в общем чате, намеренное затягивание заведомо проигранной игры и др.). Неспортивное поведение определяется судьей матча или главным судьей. Включает в себя просмотр трансляции матча, принятие подсказок со стороны и т.п.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Если игрок нашел любой новый нечестный способ повлиять на ход игры или получить игровое преимущество, и данный момент не регламентирован и произошел впервые, это дает право ГСК дисквалифицировать игрока без предупреждения и наказать игрока на свое усмотрение и в зависимости от тяжести нарушения.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Ввод в заблуждение судейской коллегии путем обмана и различных махинаций.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Намеренный разрыв соединения с сервером. Намеренным разрывом соединения считается таковой без основательных и явным образом указанных причин.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Все Игроки должны использовать одну учетную запись, указанную в заявке. Игровой ник также не может отличаться от указанного в заявке.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Во время проведения матча находиться в любых внешних голосовых чатах (включая, но не ограничиваясь Discord, TeamSpeak, Skype, Telegram Voice и аналогичными сервисами), демонстрировать экран (screen sharing, стриминг, запись или трансляцию) любым третьим лицам, использовать любые другие средства внешней коммуникации. Исключение составляют действия по требованию судей при верификации и трансляции, согласованные с Организатором согласно Общему регламенту Соревнования.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1"/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Использование ненормативной лексики, оскорблений, завуалированных выражений с негативным подтекстом в любой формулировке и виде в адрес оппонентов/судей/администрации и других участников соревнований: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игровом чате;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названии команд;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названии лобби;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widowControl w:val="1"/>
        <w:numPr>
          <w:ilvl w:val="0"/>
          <w:numId w:val="2"/>
        </w:numPr>
        <w:tabs>
          <w:tab w:val="left" w:leader="none" w:pos="1416"/>
        </w:tabs>
        <w:spacing w:after="32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на любых официальных ресурсах и серверах МСКЛ+.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1"/>
        <w:widowControl w:val="1"/>
        <w:numPr>
          <w:ilvl w:val="1"/>
          <w:numId w:val="1"/>
        </w:numPr>
        <w:tabs>
          <w:tab w:val="left" w:leader="none" w:pos="1416"/>
        </w:tabs>
        <w:spacing w:after="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Организатор оставляет за собой право не допустить Участника/Команду, а ГСК – дисквалифицировать Участника/Команду, если название их игровых имен (никнеймов) или название Команд: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защищены авторскими правами третьей стороны (кроме случаев наличия у таких Участников лицензий и иных юридических документов, разрешающих иметь такое название и/или никнейм);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сходны или идентичны названиям и/или никнеймам других Участников или команд Турнира;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сходны или идентичны названиям и/или никнеймам официальных лиц Турнира;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сходны или идентичны именам и/или прозвищам любых публичных политических или религиозных деятелей;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имеют нецензурное, непристойное или оскорбительное значение и символику;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widowControl w:val="1"/>
        <w:numPr>
          <w:ilvl w:val="0"/>
          <w:numId w:val="2"/>
        </w:numPr>
        <w:tabs>
          <w:tab w:val="left" w:leader="none" w:pos="1416"/>
        </w:tabs>
        <w:spacing w:after="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имеют завуалированное оскорбительное, нецензурное, или непристойное значение (в том числе на иностранных языках);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widowControl w:val="1"/>
        <w:numPr>
          <w:ilvl w:val="0"/>
          <w:numId w:val="2"/>
        </w:numPr>
        <w:tabs>
          <w:tab w:val="left" w:leader="none" w:pos="1416"/>
        </w:tabs>
        <w:spacing w:after="320" w:before="0" w:line="240" w:lineRule="auto"/>
        <w:ind w:left="708" w:firstLine="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мешают внутриигровому процессу, или процессу комментирования матчей.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widowControl w:val="1"/>
        <w:numPr>
          <w:ilvl w:val="1"/>
          <w:numId w:val="1"/>
        </w:numPr>
        <w:tabs>
          <w:tab w:val="left" w:leader="none" w:pos="1416"/>
        </w:tabs>
        <w:spacing w:after="320" w:before="0" w:line="240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Решение о применении санкций и их тяжести (предупреждение, техническое поражение в матче) за нарушение регламента принимает судья в зависимости от тяжести нарушения и контекста. Решение о дисквалификации принимает ГСК.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134" w:top="1134" w:left="1702" w:right="84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 "/>
      <w:lvlJc w:val="left"/>
      <w:pPr>
        <w:ind w:left="0" w:firstLine="0"/>
      </w:pPr>
      <w:rPr>
        <w:rFonts w:ascii="Times New Roman" w:cs="Times New Roman" w:eastAsia="Times New Roman" w:hAnsi="Times New Roman"/>
        <w:b w:val="1"/>
        <w:bCs w:val="1"/>
        <w:sz w:val="28"/>
        <w:szCs w:val="28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</w:abstractNum>
  <w:abstractNum w:abstractNumId="2">
    <w:lvl w:ilvl="0">
      <w:start w:val="1"/>
      <w:numFmt w:val="bullet"/>
      <w:lvlText w:val="•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8"/>
        <w:szCs w:val="28"/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Times New Roman" w:cs="Times New Roman" w:eastAsia="Times New Roman" w:hAnsi="Times New Roman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color w:val="4f81bd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color w:val="4f81bd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i w:val="1"/>
      <w:iCs w:val="1"/>
      <w:color w:val="4f81bd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color w:val="243f61"/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i w:val="1"/>
      <w:iCs w:val="1"/>
      <w:color w:val="243f61"/>
      <w:sz w:val="28"/>
      <w:szCs w:val="28"/>
    </w:rPr>
  </w:style>
  <w:style w:type="paragraph" w:styleId="Title">
    <w:name w:val="Title"/>
    <w:basedOn w:val="Normal"/>
    <w:next w:val="Normal"/>
    <w:pPr>
      <w:spacing w:after="300" w:line="240" w:lineRule="auto"/>
    </w:pPr>
    <w:rPr>
      <w:rFonts w:ascii="Times New Roman" w:cs="Times New Roman" w:eastAsia="Times New Roman" w:hAnsi="Times New Roman"/>
      <w:color w:val="17365d"/>
      <w:sz w:val="28"/>
      <w:szCs w:val="28"/>
    </w:rPr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  <w:rPr>
      <w:rFonts w:ascii="Times New Roman" w:cs="Times New Roman" w:eastAsia="Times New Roman" w:hAnsi="Times New Roman"/>
      <w:sz w:val="28"/>
    </w:rPr>
  </w:style>
  <w:style w:type="character" w:styleId="HeaderChar" w:customStyle="1">
    <w:name w:val="Header Char"/>
    <w:basedOn w:val="DefaultParagraphFont"/>
    <w:link w:val="Header"/>
    <w:uiPriority w:val="99"/>
    <w:rsid w:val="00E618BF"/>
    <w:rPr>
      <w:rFonts w:ascii="Times New Roman" w:cs="Times New Roman" w:eastAsia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  <w:rPr>
      <w:rFonts w:ascii="Times New Roman" w:cs="Times New Roman" w:eastAsia="Times New Roman" w:hAnsi="Times New Roman"/>
      <w:sz w:val="28"/>
    </w:rPr>
  </w:style>
  <w:style w:type="character" w:styleId="FooterChar" w:customStyle="1">
    <w:name w:val="Footer Char"/>
    <w:basedOn w:val="DefaultParagraphFont"/>
    <w:link w:val="Footer"/>
    <w:uiPriority w:val="99"/>
    <w:rsid w:val="00E618BF"/>
    <w:rPr>
      <w:rFonts w:ascii="Times New Roman" w:cs="Times New Roman" w:eastAsia="Times New Roman" w:hAnsi="Times New Roman"/>
      <w:sz w:val="28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="Times New Roman" w:cs="Times New Roman" w:eastAsia="Times New Roman" w:hAnsi="Times New Roman"/>
      <w:color w:val="4f81bd" w:themeColor="accent1"/>
      <w:sz w:val="28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rPr>
      <w:rFonts w:ascii="Times New Roman" w:cs="Times New Roman" w:eastAsia="Times New Roman" w:hAnsi="Times New Roman"/>
      <w:sz w:val="28"/>
    </w:rPr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  <w:rPr>
      <w:rFonts w:ascii="Times New Roman" w:cs="Times New Roman" w:eastAsia="Times New Roman" w:hAnsi="Times New Roman"/>
      <w:sz w:val="28"/>
    </w:r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="Times New Roman" w:cs="Times New Roman" w:eastAsia="Times New Roman" w:hAnsi="Times New Roman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="Times New Roman" w:cs="Times New Roman" w:eastAsia="Times New Roman" w:hAnsi="Times New Roman"/>
      <w:b w:val="1"/>
      <w:bCs w:val="1"/>
      <w:color w:val="4f81bd" w:themeColor="accent1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="Times New Roman" w:cs="Times New Roman" w:eastAsia="Times New Roman" w:hAnsi="Times New Roman"/>
      <w:b w:val="1"/>
      <w:bCs w:val="1"/>
      <w:color w:val="4f81bd" w:themeColor="accent1"/>
      <w:sz w:val="28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="Times New Roman" w:cs="Times New Roman" w:eastAsia="Times New Roman" w:hAnsi="Times New Roman"/>
      <w:color w:val="17365d" w:themeColor="text2" w:themeShade="0000BF"/>
      <w:spacing w:val="5"/>
      <w:kern w:val="28"/>
      <w:sz w:val="28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="Times New Roman" w:cs="Times New Roman" w:eastAsia="Times New Roman" w:hAnsi="Times New Roman"/>
      <w:i w:val="1"/>
      <w:iCs w:val="1"/>
      <w:color w:val="4f81bd" w:themeColor="accent1"/>
      <w:spacing w:val="15"/>
      <w:sz w:val="28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  <w:rPr>
      <w:rFonts w:ascii="Times New Roman" w:cs="Times New Roman" w:eastAsia="Times New Roman" w:hAnsi="Times New Roman"/>
      <w:sz w:val="28"/>
    </w:rPr>
  </w:style>
  <w:style w:type="character" w:styleId="BodyTextChar" w:customStyle="1">
    <w:name w:val="Body Text Char"/>
    <w:basedOn w:val="DefaultParagraphFont"/>
    <w:link w:val="BodyText"/>
    <w:uiPriority w:val="99"/>
    <w:rsid w:val="00AA1D8D"/>
    <w:rPr>
      <w:rFonts w:ascii="Times New Roman" w:cs="Times New Roman" w:eastAsia="Times New Roman" w:hAnsi="Times New Roman"/>
      <w:sz w:val="28"/>
    </w:rPr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  <w:rPr>
      <w:rFonts w:ascii="Times New Roman" w:cs="Times New Roman" w:eastAsia="Times New Roman" w:hAnsi="Times New Roman"/>
      <w:sz w:val="28"/>
    </w:rPr>
  </w:style>
  <w:style w:type="character" w:styleId="BodyText2Char" w:customStyle="1">
    <w:name w:val="Body Text 2 Char"/>
    <w:basedOn w:val="DefaultParagraphFont"/>
    <w:link w:val="BodyText2"/>
    <w:uiPriority w:val="99"/>
    <w:rsid w:val="00AA1D8D"/>
    <w:rPr>
      <w:rFonts w:ascii="Times New Roman" w:cs="Times New Roman" w:eastAsia="Times New Roman" w:hAnsi="Times New Roman"/>
      <w:sz w:val="28"/>
    </w:rPr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rFonts w:ascii="Times New Roman" w:cs="Times New Roman" w:eastAsia="Times New Roman" w:hAnsi="Times New Roman"/>
      <w:sz w:val="28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rFonts w:ascii="Times New Roman" w:cs="Times New Roman" w:eastAsia="Times New Roman" w:hAnsi="Times New Roman"/>
      <w:sz w:val="28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cs="Times New Roman" w:eastAsia="Times New Roman" w:hAnsi="Times New Roman"/>
      <w:sz w:val="28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Times New Roman" w:cs="Times New Roman" w:eastAsia="Times New Roman" w:hAnsi="Times New Roman"/>
      <w:sz w:val="28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rFonts w:ascii="Times New Roman" w:cs="Times New Roman" w:eastAsia="Times New Roman" w:hAnsi="Times New Roman"/>
      <w:i w:val="1"/>
      <w:iCs w:val="1"/>
      <w:color w:val="000000" w:themeColor="text1"/>
      <w:sz w:val="28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rFonts w:ascii="Times New Roman" w:cs="Times New Roman" w:eastAsia="Times New Roman" w:hAnsi="Times New Roman"/>
      <w:i w:val="1"/>
      <w:iCs w:val="1"/>
      <w:color w:val="000000" w:themeColor="text1"/>
      <w:sz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="Times New Roman" w:cs="Times New Roman" w:eastAsia="Times New Roman" w:hAnsi="Times New Roman"/>
      <w:color w:val="243f60" w:themeColor="accent1" w:themeShade="00007F"/>
      <w:sz w:val="28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="Times New Roman" w:cs="Times New Roman" w:eastAsia="Times New Roman" w:hAnsi="Times New Roman"/>
      <w:i w:val="1"/>
      <w:iCs w:val="1"/>
      <w:color w:val="243f60" w:themeColor="accent1" w:themeShade="00007F"/>
      <w:sz w:val="28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="Times New Roman" w:cs="Times New Roman" w:eastAsia="Times New Roman" w:hAnsi="Times New Roman"/>
      <w:color w:val="4f81bd" w:themeColor="accent1"/>
      <w:sz w:val="28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rFonts w:ascii="Times New Roman" w:cs="Times New Roman" w:eastAsia="Times New Roman" w:hAnsi="Times New Roman"/>
      <w:b w:val="1"/>
      <w:bCs w:val="1"/>
      <w:color w:val="4f81bd" w:themeColor="accent1"/>
      <w:sz w:val="2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rFonts w:ascii="Times New Roman" w:cs="Times New Roman" w:eastAsia="Times New Roman" w:hAnsi="Times New Roman"/>
      <w:b w:val="1"/>
      <w:bCs w:val="1"/>
      <w:sz w:val="28"/>
    </w:rPr>
  </w:style>
  <w:style w:type="character" w:styleId="Emphasis">
    <w:name w:val="Emphasis"/>
    <w:basedOn w:val="DefaultParagraphFont"/>
    <w:uiPriority w:val="20"/>
    <w:qFormat w:val="1"/>
    <w:rsid w:val="00FC693F"/>
    <w:rPr>
      <w:rFonts w:ascii="Times New Roman" w:cs="Times New Roman" w:eastAsia="Times New Roman" w:hAnsi="Times New Roman"/>
      <w:i w:val="1"/>
      <w:iCs w:val="1"/>
      <w:sz w:val="28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spacing w:after="280" w:before="200"/>
      <w:ind w:left="936" w:right="936"/>
    </w:pPr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rFonts w:ascii="Times New Roman" w:cs="Times New Roman" w:eastAsia="Times New Roman" w:hAnsi="Times New Roman"/>
      <w:i w:val="1"/>
      <w:iCs w:val="1"/>
      <w:color w:val="808080" w:themeColor="text1" w:themeTint="00007F"/>
      <w:sz w:val="28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rFonts w:ascii="Times New Roman" w:cs="Times New Roman" w:eastAsia="Times New Roman" w:hAnsi="Times New Roman"/>
      <w:smallCaps w:val="1"/>
      <w:color w:val="c0504d" w:themeColor="accent2"/>
      <w:sz w:val="28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rFonts w:ascii="Times New Roman" w:cs="Times New Roman" w:eastAsia="Times New Roman" w:hAnsi="Times New Roman"/>
      <w:b w:val="1"/>
      <w:bCs w:val="1"/>
      <w:smallCaps w:val="1"/>
      <w:color w:val="c0504d" w:themeColor="accent2"/>
      <w:spacing w:val="5"/>
      <w:sz w:val="28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rFonts w:ascii="Times New Roman" w:cs="Times New Roman" w:eastAsia="Times New Roman" w:hAnsi="Times New Roman"/>
      <w:b w:val="1"/>
      <w:bCs w:val="1"/>
      <w:smallCaps w:val="1"/>
      <w:spacing w:val="5"/>
      <w:sz w:val="28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  <w:rPr>
      <w:rFonts w:ascii="Times New Roman" w:cs="Times New Roman" w:eastAsia="Times New Roman" w:hAnsi="Times New Roman"/>
      <w:sz w:val="28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Times New Roman" w:cs="Times New Roman" w:eastAsia="Times New Roman" w:hAnsi="Times New Roman"/>
      <w:i w:val="1"/>
      <w:iCs w:val="1"/>
      <w:color w:val="4f81bd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wGUO/MrFkSoWClCftgNXqQ7QGg==">CgMxLjA4AHIhMU9aMmJ0RWsyTDJKRGFYd0FuS0VzSHNBM18wMWFEbXN5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</cp:coreProperties>
</file>