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/>
        <w:spacing w:lineRule="exact" w:line="368" w:before="503" w:after="0"/>
        <w:ind w:left="370" w:right="-370" w:firstLine="0"/>
        <w:jc w:val="center"/>
      </w:pPr>
      <w:r>
        <w:rPr>
          <w:rFonts w:ascii="Times New Roman" w:hAnsi="Times New Roman" w:eastAsia="Times New Roman" w:cs="Times New Roman"/>
          <w:b/>
          <w:sz w:val="32"/>
          <w:lang w:val="ru-RU"/>
        </w:rPr>
        <w:t>Региональная общественная организация</w:t>
      </w: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687324</wp:posOffset>
            </wp:positionH>
            <wp:positionV relativeFrom="page">
              <wp:posOffset>758951</wp:posOffset>
            </wp:positionV>
            <wp:extent cx="885444" cy="1485900"/>
            <wp:wrapNone/>
            <wp:docPr id="1" name="Picture 1" descr="Логотип Федерации компьютерного спорта города Москвы из исходного PDF"/>
            <wp:cNvGraphicFramePr xmlns:a="http://schemas.openxmlformats.org/drawingml/2006/main">
              <a:graphicFrameLocks noChangeAspect="1"/>
            </wp:cNvGraphicFramePr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Tekhnicheskie_pravila_Dota_2-image-0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5444" cy="14859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keepNext/>
        <w:spacing w:lineRule="exact" w:line="368" w:before="0" w:after="220"/>
        <w:ind w:left="367" w:right="-367" w:firstLine="0"/>
        <w:jc w:val="center"/>
      </w:pPr>
      <w:r>
        <w:rPr>
          <w:rFonts w:ascii="Times New Roman" w:hAnsi="Times New Roman" w:eastAsia="Times New Roman" w:cs="Times New Roman"/>
          <w:b/>
          <w:sz w:val="32"/>
          <w:lang w:val="ru-RU"/>
        </w:rPr>
        <w:t>«Федерация компьютерного спорта города Москвы»</w:t>
      </w:r>
    </w:p>
    <w:p>
      <w:pPr>
        <w:keepNext/>
        <w:spacing w:lineRule="exact" w:line="368" w:before="0" w:after="374"/>
        <w:ind w:left="372" w:right="-372" w:firstLine="0"/>
        <w:jc w:val="center"/>
      </w:pPr>
      <w:r>
        <w:rPr>
          <w:rFonts w:ascii="Times New Roman" w:hAnsi="Times New Roman" w:eastAsia="Times New Roman" w:cs="Times New Roman"/>
          <w:b/>
          <w:sz w:val="32"/>
          <w:lang w:val="ru-RU"/>
        </w:rPr>
        <w:t>Технические правила Dota 2</w:t>
      </w:r>
    </w:p>
    <w:p>
      <w:pPr>
        <w:keepNext/>
        <w:spacing w:lineRule="exact" w:line="368" w:before="0" w:after="1061"/>
        <w:ind w:left="370" w:right="-370" w:firstLine="0"/>
        <w:jc w:val="center"/>
      </w:pPr>
      <w:r>
        <w:rPr>
          <w:rFonts w:ascii="Times New Roman" w:hAnsi="Times New Roman" w:eastAsia="Times New Roman" w:cs="Times New Roman"/>
          <w:b/>
          <w:sz w:val="32"/>
          <w:lang w:val="ru-RU"/>
        </w:rPr>
        <w:t>МСКЛ+, 6 сезон</w:t>
      </w:r>
    </w:p>
    <w:p>
      <w:pPr>
        <w:keepNext/>
        <w:widowControl/>
        <w:spacing w:line="276" w:lineRule="auto" w:before="0" w:after="360"/>
        <w:ind w:left="0" w:firstLine="380"/>
        <w:jc w:val="left"/>
        <w:numPr>
          <w:ilvl w:val="0"/>
          <w:numId w:val="10"/>
        </w:numPr>
        <w:snapToGrid w:val="0"/>
        <w:outlineLvl w:val="0"/>
      </w:pPr>
      <w:r>
        <w:rPr>
          <w:rFonts w:ascii="Times New Roman" w:hAnsi="Times New Roman" w:eastAsia="Times New Roman" w:cs="Times New Roman"/>
          <w:b/>
          <w:sz w:val="28"/>
          <w:lang w:val="ru-RU"/>
        </w:rPr>
        <w:t>Коммуникация и взаимодействие</w:t>
      </w:r>
    </w:p>
    <w:p>
      <w:pPr>
        <w:widowControl/>
        <w:spacing w:line="276" w:lineRule="auto" w:before="0" w:after="0"/>
        <w:ind w:left="0" w:firstLine="708"/>
        <w:jc w:val="both"/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Коммуникация между командами и судьями, координация проводимых матчей происходит в официальном чате в Telegram 6 сезона МСКЛ+.</w:t>
      </w:r>
    </w:p>
    <w:p>
      <w:pPr>
        <w:keepNext/>
        <w:widowControl/>
        <w:spacing w:line="276" w:lineRule="auto" w:before="360" w:after="360"/>
        <w:ind w:left="0" w:firstLine="380"/>
        <w:jc w:val="left"/>
        <w:numPr>
          <w:ilvl w:val="0"/>
          <w:numId w:val="10"/>
        </w:numPr>
        <w:snapToGrid w:val="0"/>
        <w:outlineLvl w:val="0"/>
      </w:pPr>
      <w:r>
        <w:rPr>
          <w:rFonts w:ascii="Times New Roman" w:hAnsi="Times New Roman" w:eastAsia="Times New Roman" w:cs="Times New Roman"/>
          <w:b/>
          <w:sz w:val="28"/>
          <w:lang w:val="ru-RU"/>
        </w:rPr>
        <w:t>Формат проведения матчей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Матч проходит между двумя командами по 5 человек. Начинать матч в неполном составе - запрещено.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Лобби создается игроком\капитаном команды, находящейся в верхней ячейке турнирной сетки. Если по какой-то причине игрок\капитан команды, находящейся в верхней ячейке турнирной ячейки не может создать лобби — это необходимо сделать их оппонентам, если обе команды не могут создать лобби матча и тем самым задерживают турнирную сетку в целом, то судьи вправе применить санкции к обеим командам.</w:t>
      </w:r>
    </w:p>
    <w:p>
      <w:pPr>
        <w:keepNext/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Игровые настройки лобби при использовании русского клиента:</w:t>
      </w:r>
    </w:p>
    <w:p>
      <w:pPr>
        <w:widowControl/>
        <w:spacing w:line="276" w:lineRule="auto" w:before="0" w:after="0"/>
        <w:ind w:left="0" w:firstLine="0"/>
        <w:jc w:val="both"/>
        <w:numPr>
          <w:ilvl w:val="0"/>
          <w:numId w:val="11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режим игры: Captains Mode;</w:t>
      </w:r>
    </w:p>
    <w:p>
      <w:pPr>
        <w:widowControl/>
        <w:spacing w:line="276" w:lineRule="auto" w:before="0" w:after="0"/>
        <w:ind w:left="0" w:firstLine="0"/>
        <w:jc w:val="both"/>
        <w:numPr>
          <w:ilvl w:val="0"/>
          <w:numId w:val="11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местоположение сервера: Стокгольм;</w:t>
      </w:r>
    </w:p>
    <w:p>
      <w:pPr>
        <w:widowControl/>
        <w:spacing w:line="276" w:lineRule="auto" w:before="0" w:after="0"/>
        <w:ind w:left="0" w:firstLine="0"/>
        <w:jc w:val="both"/>
        <w:numPr>
          <w:ilvl w:val="0"/>
          <w:numId w:val="11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наличие тренера: запретить;</w:t>
      </w:r>
    </w:p>
    <w:p>
      <w:pPr>
        <w:widowControl/>
        <w:spacing w:line="276" w:lineRule="auto" w:before="0" w:after="0"/>
        <w:ind w:left="0" w:firstLine="0"/>
        <w:jc w:val="both"/>
        <w:numPr>
          <w:ilvl w:val="0"/>
          <w:numId w:val="11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читы: запрещены;</w:t>
      </w:r>
    </w:p>
    <w:p>
      <w:pPr>
        <w:widowControl/>
        <w:spacing w:line="276" w:lineRule="auto" w:before="0" w:after="0"/>
        <w:ind w:left="0" w:firstLine="0"/>
        <w:jc w:val="both"/>
        <w:numPr>
          <w:ilvl w:val="0"/>
          <w:numId w:val="11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зрители: запретить (Если ваш матч выбран на официальную трансляцию, то «Разрешить» с задержкой).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Если командам удобно играть на ином местоположении сервера, они могут выбрать другой сервер, которых устроит их при обоюдном согласии. После старта игры претензии относительно выбора сервера не принимаются.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Игрок\капитан команды, которая создала лобби, обязан предоставить данные от лобби своим оппонентам. Данные от лобби передаются в закрытом формате, в личные сообщения. Вся остальная коммуникация происходит в официальном чате в Telegram.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В лобби игры могут находиться только участники матча, судьи и официальные стримеры.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Команда, которая присоединится к лобби оппонентов обязуется проверить настройки лобби на предмет соответствия правилам турнира. В противном случае - претензии от коллектива, относительно некорректных настроек лобби, выявленных во время или после игры - приниматься не будут.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Все матчи Соревнований проводятся онлайн в формате Bo3 – до 2-х побед. Гранд-финал 6 декабря 2026 года проходит в формате Bo3 в одну серию, без преимущества команды (участника) верхней сетки и без повторной серии.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В формате Bo3, выбор стороны и право пика в первой игре определяются броском «монетки» в лобби. Для доступа к подбрасыванию монетки каждая команда в турнире обязана иметь свой командный тег в Dota 2. 1-я карта - 1-й бросок монеты. Победитель 1-го броска монеты выбирает пик или сторону, соперник выбирает из оставшихся вариантов; 2-я карта - Проигравший при первом подбрасывании монеты выбирает пик или сторону, соперник выбирает из оставшихся вариантов; 3-я карта - Новое подбрасывание монеты. Победитель подбрасывания монеты выбирает пик или сторону, соперник выбирает из оставшихся вариантов.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Побеждает команда, уничтожившая трон противника, или вынудившая команду противника сдаться (Написание команды «GG» в игровой чат без последующей отмены решения).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После окончания матча капитан победившей команды, обязан отправить результаты в специальный раздел чата турнира в Telegram («Результаты матчей»). Результаты матча должны быть отправлены не позднее, чем через 10 минут после окончания матча. Результаты, отправленные с задержкой более чем в 10 минут и/или отправленные не по образцу, приравниваются к нарушению правил.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Замены разрешены только между матчами турнира. Замены по ходу матча/серии запрещены. Команды обязаны оповещать судей турнира о планируемых заменах в матче не позднее, чем за 30 минут до официального времени начала матча.</w:t>
      </w:r>
    </w:p>
    <w:p>
      <w:pPr>
        <w:keepNext/>
        <w:widowControl/>
        <w:spacing w:line="276" w:lineRule="auto" w:before="360" w:after="360"/>
        <w:ind w:left="0" w:firstLine="380"/>
        <w:jc w:val="left"/>
        <w:numPr>
          <w:ilvl w:val="0"/>
          <w:numId w:val="10"/>
        </w:numPr>
        <w:snapToGrid w:val="0"/>
        <w:outlineLvl w:val="0"/>
      </w:pPr>
      <w:r>
        <w:rPr>
          <w:rFonts w:ascii="Times New Roman" w:hAnsi="Times New Roman" w:eastAsia="Times New Roman" w:cs="Times New Roman"/>
          <w:b/>
          <w:sz w:val="28"/>
          <w:lang w:val="ru-RU"/>
        </w:rPr>
        <w:t>Паузы в игре, дисконнекты, переигровки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«Дисконнектом» считается любой разрыв сетевого соединения во время матча из-за неполадок в системе, сети, компьютера, проблем с напряжением и т.п.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Условия для переигровки: переигровка карты возможна лишь по решению ГСК, удовлетворившего требования претендующей на переигровку команды. Решение о переигровке выносится только после полного разбора и анализа сложившейся ситуации.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Санкции за дисконнект: в случае дисконнекта одного из игроков команды и истечению времени паузы, команда может продолжить играть без него. Игрок, отключившийся от игры, имеет право вернутся в игру, при наличии такой возможности.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Если случился общий дисконнект всех игроков с сервера и обратно подключиться невозможно, то в таком матче будет назначена переигровка вне зависимости от ситуации во время игры. Переигровка не будет назначена только в том случае, если одна из команд признает поражение и откажется переигрывать матч.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Переигровка происходит на тех же персонажах и за ту сторону, которые были выбраны во время начала матча.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В любых других случаях решение о назначении переигровки выносит ГСК после разбора сложившейся ситуации.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Каждая команда имеет право взять не более трех пауз во время матча, при этом один из игроков в чате обязан указать причину паузы (тактическая/ техническая).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Общая длительность пауз не должна превышать 10 минут. Если вы использовали все 3 паузы, но лимит по времени не был исчерпан, то оставшееся время - сгорает. Общая продолжительность паузы может быть увеличена судьёй турнира в экстренных случаях.</w:t>
      </w:r>
    </w:p>
    <w:p>
      <w:pPr>
        <w:keepNext/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Допустимые причины паузы:</w:t>
      </w:r>
    </w:p>
    <w:p>
      <w:pPr>
        <w:widowControl/>
        <w:spacing w:line="276" w:lineRule="auto" w:before="0" w:after="0"/>
        <w:ind w:left="0" w:firstLine="0"/>
        <w:jc w:val="both"/>
        <w:numPr>
          <w:ilvl w:val="0"/>
          <w:numId w:val="11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непреднамеренный разрыв соединения у одного или более игроков;</w:t>
      </w:r>
    </w:p>
    <w:p>
      <w:pPr>
        <w:widowControl/>
        <w:spacing w:line="276" w:lineRule="auto" w:before="0" w:after="0"/>
        <w:ind w:left="0" w:firstLine="0"/>
        <w:jc w:val="both"/>
        <w:numPr>
          <w:ilvl w:val="0"/>
          <w:numId w:val="11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неисправность оборудования или проблема с программным обеспечением (например, проблемы с питанием монитора, выход из строя периферийных устройств или сбой игры);</w:t>
      </w:r>
    </w:p>
    <w:p>
      <w:pPr>
        <w:widowControl/>
        <w:spacing w:line="276" w:lineRule="auto" w:before="0" w:after="0"/>
        <w:ind w:left="0" w:firstLine="0"/>
        <w:jc w:val="both"/>
        <w:numPr>
          <w:ilvl w:val="0"/>
          <w:numId w:val="11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резкое ухудшение здоровья у одного из игроков;</w:t>
      </w:r>
    </w:p>
    <w:p>
      <w:pPr>
        <w:widowControl/>
        <w:spacing w:line="276" w:lineRule="auto" w:before="0" w:after="0"/>
        <w:ind w:left="0" w:firstLine="0"/>
        <w:jc w:val="both"/>
        <w:numPr>
          <w:ilvl w:val="0"/>
          <w:numId w:val="11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проблема с сервером матча (сильные лаги сразу у нескольких игроков в обеих командах).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Перед снятием паузы необходимо уведомить противника и узнать о готовности оппонентов продолжать игру.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Если одна из команд сняла паузу без предупреждения команды противника и подтверждения с их стороны, это может расцениваться как нарушение правил. При повторном нарушении - команде, снявшей паузу, может быть присвоено техническое поражение.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Если противник превысил время - снимать паузу без уведомления и их разрешения нельзя. Необходимо сообщить о нарушении судье.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В случае возникновения технических неполадок у игроков участник обязан сообщить об этой проблеме судье. При сообщении технической проблемы после завершения матча она не рассматривается и не может быть причиной пересмотра результатов.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Организатор турнира не несет ответственность за техническое состояние принадлежащих участнику устройств/компьютера/ноутбука.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При грубом нарушении игры судья может аннулировать счет игры. По решению судьи может быть назначена переигровка карты/матча или техническое поражение в серии.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Участники турнира обязаны незамедлительно оповещать судей о всех спорных моментах, не описанных в Технических правилах и/или Регламенте соревнования. Если игроки команды оповестили судью турнира о какой-либо проблеме только после окончания матча - это может расцениваться, как попытка повлиять на исход матча обманным путём.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Протесты и апелляции. Все протесты и апелляции необходимо направлять судьям либо во время матча, либо в течение 20 минут после его завершения и/или после вынесения решения матчевым судьей. Протесты и апелляции, отправленные позже установленного срока и/или не по образцу - рассмотрению не подлежат.</w:t>
      </w:r>
    </w:p>
    <w:p>
      <w:pPr>
        <w:keepNext/>
        <w:widowControl/>
        <w:spacing w:line="276" w:lineRule="auto" w:before="360" w:after="360"/>
        <w:ind w:left="0" w:firstLine="380"/>
        <w:jc w:val="left"/>
        <w:numPr>
          <w:ilvl w:val="0"/>
          <w:numId w:val="10"/>
        </w:numPr>
        <w:snapToGrid w:val="0"/>
        <w:outlineLvl w:val="0"/>
      </w:pPr>
      <w:r>
        <w:rPr>
          <w:rFonts w:ascii="Times New Roman" w:hAnsi="Times New Roman" w:eastAsia="Times New Roman" w:cs="Times New Roman"/>
          <w:b/>
          <w:sz w:val="28"/>
          <w:lang w:val="ru-RU"/>
        </w:rPr>
        <w:t>Перечень запрещённых действий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Запрещенными признаются любые действия, прямо противоречащие Регламенту Соревнований. Полный и актуальный список запрещенных действий описан в Регламенте Соревнований.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Любые действия, предполагающие моральное давление и негативный контекст относительно оппонентов во время игры (использования словосочетаний gg, wp, gh; «ошибочная» постановка пауз перед/после фрагов и пр.).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Использование общего чата в матче (допускается общение во время пауз, с целью обозначить/узнать положение дел касаемо технических и других проблем участников матча).</w:t>
      </w:r>
    </w:p>
    <w:p>
      <w:pPr>
        <w:keepNext/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Запрещенные приемы нечестной игры:</w:t>
      </w:r>
    </w:p>
    <w:p>
      <w:pPr>
        <w:widowControl/>
        <w:spacing w:line="276" w:lineRule="auto" w:before="0" w:after="0"/>
        <w:ind w:left="0" w:firstLine="0"/>
        <w:jc w:val="both"/>
        <w:numPr>
          <w:ilvl w:val="0"/>
          <w:numId w:val="11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использование любых сторонних программ; программ, влияющих на игровой процесс, или дающих игроку любые дополнительные сведения о положении дел противника;</w:t>
      </w:r>
    </w:p>
    <w:p>
      <w:pPr>
        <w:widowControl/>
        <w:spacing w:line="276" w:lineRule="auto" w:before="0" w:after="0"/>
        <w:ind w:left="0" w:firstLine="0"/>
        <w:jc w:val="both"/>
        <w:numPr>
          <w:ilvl w:val="0"/>
          <w:numId w:val="11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подглядывание трансляции или получение подсказок от третьих лиц.</w:t>
      </w:r>
    </w:p>
    <w:p>
      <w:pPr>
        <w:widowControl/>
        <w:spacing w:line="276" w:lineRule="auto" w:before="0" w:after="0"/>
        <w:ind w:left="0" w:firstLine="0"/>
        <w:jc w:val="both"/>
        <w:numPr>
          <w:ilvl w:val="0"/>
          <w:numId w:val="11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использование багов игры.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Если игрок нашел любой новый нечестный способ повлиять на ход игры или получить игровое преимущество, и данный момент не регламентирован и произошел впервые, это дает право ГСК дисквалифицировать игрока без предупреждения и наказать игрока на свое усмотрение и в зависимости от тяжести нарушения.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Ввод в заблуждение судейской коллегии путем обмана и различных махинаций.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Намеренный разрыв соединения с сервером. Намеренным разрывом соединения считается таковой без основательных и явным образом указанных причин.</w:t>
      </w:r>
    </w:p>
    <w:p>
      <w:pPr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Все Игроки должны использовать одну учетную запись, указанную в заявке. Игровой ник также не может отличаться от указанного в заявке.</w:t>
      </w:r>
    </w:p>
    <w:p>
      <w:pPr>
        <w:keepNext/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Использование ненормативной лексики, оскорблений, завуалированных выражений с негативным подтекстом в любой формулировке и виде в адрес оппонентов/судей/администрации и других участников соревнований:</w:t>
      </w:r>
    </w:p>
    <w:p>
      <w:pPr>
        <w:widowControl/>
        <w:spacing w:line="276" w:lineRule="auto" w:before="0" w:after="0"/>
        <w:ind w:left="0" w:firstLine="0"/>
        <w:jc w:val="both"/>
        <w:numPr>
          <w:ilvl w:val="0"/>
          <w:numId w:val="11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в игровом чате;</w:t>
      </w:r>
    </w:p>
    <w:p>
      <w:pPr>
        <w:widowControl/>
        <w:spacing w:line="276" w:lineRule="auto" w:before="0" w:after="0"/>
        <w:ind w:left="0" w:firstLine="0"/>
        <w:jc w:val="both"/>
        <w:numPr>
          <w:ilvl w:val="0"/>
          <w:numId w:val="11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в названии команд;</w:t>
      </w:r>
    </w:p>
    <w:p>
      <w:pPr>
        <w:widowControl/>
        <w:spacing w:line="276" w:lineRule="auto" w:before="0" w:after="0"/>
        <w:ind w:left="0" w:firstLine="0"/>
        <w:jc w:val="both"/>
        <w:numPr>
          <w:ilvl w:val="0"/>
          <w:numId w:val="11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в названии лобби;</w:t>
      </w:r>
    </w:p>
    <w:p>
      <w:pPr>
        <w:widowControl/>
        <w:spacing w:line="276" w:lineRule="auto" w:before="0" w:after="0"/>
        <w:ind w:left="0" w:firstLine="0"/>
        <w:jc w:val="both"/>
        <w:numPr>
          <w:ilvl w:val="0"/>
          <w:numId w:val="11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на любых официальных ресурсах и серверах МСКЛ+.</w:t>
      </w:r>
    </w:p>
    <w:p>
      <w:pPr>
        <w:keepNext/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Организатор оставляет за собой право не допустить Участника/Команду, а ГСК – дисквалифицировать Участника/Команду, если название их игровых имен (никнеймов) или название Команд:</w:t>
      </w:r>
    </w:p>
    <w:p>
      <w:pPr>
        <w:widowControl/>
        <w:spacing w:line="276" w:lineRule="auto" w:before="0" w:after="0"/>
        <w:ind w:left="0" w:firstLine="0"/>
        <w:jc w:val="both"/>
        <w:numPr>
          <w:ilvl w:val="0"/>
          <w:numId w:val="11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защищены авторскими правами третьей стороны (кроме случаев наличия у таких Участников лицензий и иных юридических документов, разрешающих иметь такое название и/или никнейм);</w:t>
      </w:r>
    </w:p>
    <w:p>
      <w:pPr>
        <w:widowControl/>
        <w:spacing w:line="276" w:lineRule="auto" w:before="0" w:after="0"/>
        <w:ind w:left="0" w:firstLine="0"/>
        <w:jc w:val="both"/>
        <w:numPr>
          <w:ilvl w:val="0"/>
          <w:numId w:val="11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сходны или идентичны названиям и/или никнеймам других Участников или команд Турнира;</w:t>
      </w:r>
    </w:p>
    <w:p>
      <w:pPr>
        <w:widowControl/>
        <w:spacing w:line="276" w:lineRule="auto" w:before="0" w:after="0"/>
        <w:ind w:left="0" w:firstLine="0"/>
        <w:jc w:val="both"/>
        <w:numPr>
          <w:ilvl w:val="0"/>
          <w:numId w:val="11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сходны или идентичны названиям и/или никнеймам официальных лиц Турнира;</w:t>
      </w:r>
    </w:p>
    <w:p>
      <w:pPr>
        <w:widowControl/>
        <w:spacing w:line="276" w:lineRule="auto" w:before="0" w:after="0"/>
        <w:ind w:left="0" w:firstLine="0"/>
        <w:jc w:val="both"/>
        <w:numPr>
          <w:ilvl w:val="0"/>
          <w:numId w:val="11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сходны или идентичны именам и/или прозвищам любых публичных политических или религиозных деятелей;</w:t>
      </w:r>
    </w:p>
    <w:p>
      <w:pPr>
        <w:widowControl/>
        <w:spacing w:line="276" w:lineRule="auto" w:before="0" w:after="0"/>
        <w:ind w:left="0" w:firstLine="0"/>
        <w:jc w:val="both"/>
        <w:numPr>
          <w:ilvl w:val="0"/>
          <w:numId w:val="11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имеют нецензурное, непристойное или оскорбительное значение и символику;</w:t>
      </w:r>
    </w:p>
    <w:p>
      <w:pPr>
        <w:widowControl/>
        <w:spacing w:line="276" w:lineRule="auto" w:before="0" w:after="0"/>
        <w:ind w:left="0" w:firstLine="0"/>
        <w:jc w:val="both"/>
        <w:numPr>
          <w:ilvl w:val="0"/>
          <w:numId w:val="11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имеют завуалированное оскорбительное, нецензурное, или непристойное значение (в том числе на иностранных языках);</w:t>
      </w:r>
    </w:p>
    <w:p>
      <w:pPr>
        <w:widowControl/>
        <w:spacing w:line="276" w:lineRule="auto" w:before="0" w:after="0"/>
        <w:ind w:left="0" w:firstLine="0"/>
        <w:jc w:val="both"/>
        <w:numPr>
          <w:ilvl w:val="0"/>
          <w:numId w:val="11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мешают внутриигровому процессу, или процессу комментирования матчей.</w:t>
      </w:r>
    </w:p>
    <w:p>
      <w:pPr>
        <w:keepNext/>
        <w:widowControl/>
        <w:spacing w:line="276" w:lineRule="auto" w:before="0" w:after="0"/>
        <w:ind w:left="0" w:firstLine="720"/>
        <w:jc w:val="both"/>
        <w:numPr>
          <w:ilvl w:val="1"/>
          <w:numId w:val="10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Другие запреты:</w:t>
      </w:r>
    </w:p>
    <w:p>
      <w:pPr>
        <w:widowControl/>
        <w:spacing w:line="276" w:lineRule="auto" w:before="0" w:after="0"/>
        <w:ind w:left="0" w:firstLine="0"/>
        <w:jc w:val="both"/>
        <w:numPr>
          <w:ilvl w:val="0"/>
          <w:numId w:val="11"/>
        </w:numPr>
        <w:snapToGrid w:val="0"/>
      </w:pPr>
      <w:r>
        <w:rPr>
          <w:rFonts w:ascii="Times New Roman" w:hAnsi="Times New Roman" w:eastAsia="Times New Roman" w:cs="Times New Roman"/>
          <w:b w:val="0"/>
          <w:sz w:val="28"/>
          <w:lang w:val="ru-RU"/>
        </w:rPr>
        <w:t>написание «gg» в чат с любой целью, кроме признания собственного поражения (при однократном написании «gg» и последующей отменой - присуждается предупреждение. Последующее злоупотребление этим действием повлечёт техническое поражение в матче).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708" w:right="810" w:bottom="1100" w:left="1668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00010009"/>
    <w:multiLevelType w:val="multilevel"/>
    <w:tmpl w:val="00020009"/>
    <w:lvl w:ilvl="0">
      <w:start w:val="1"/>
      <w:numFmt w:val="decimal"/>
      <w:suff w:val="space"/>
      <w:lvlText w:val="%1. "/>
      <w:lvlJc w:val="left"/>
      <w:pPr>
        <w:ind w:left="0" w:firstLine="0"/>
      </w:pPr>
      <w:rPr>
        <w:rFonts w:ascii="Times New Roman" w:hAnsi="Times New Roman"/>
        <w:b/>
        <w:sz w:val="28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/>
        <w:sz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/>
        <w:sz w:val="28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Times New Roman" w:hAnsi="Times New Roman"/>
        <w:sz w:val="28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Times New Roman" w:hAnsi="Times New Roman"/>
        <w:sz w:val="28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Times New Roman" w:hAnsi="Times New Roman"/>
        <w:sz w:val="28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Times New Roman" w:hAnsi="Times New Roman"/>
        <w:sz w:val="28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Times New Roman" w:hAnsi="Times New Roman"/>
        <w:sz w:val="28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Times New Roman" w:hAnsi="Times New Roman"/>
        <w:sz w:val="28"/>
      </w:rPr>
    </w:lvl>
  </w:abstractNum>
  <w:abstractNum w:abstractNumId="10">
    <w:nsid w:val="0001000A"/>
    <w:multiLevelType w:val="singleLevel"/>
    <w:tmpl w:val="0002000A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Times New Roman" w:hAnsi="Times New Roman"/>
        <w:sz w:val="28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widowControl/>
      <w:spacing w:before="0" w:after="0" w:line="240" w:lineRule="auto"/>
    </w:pPr>
    <w:rPr>
      <w:rFonts w:ascii="Times New Roman" w:hAnsi="Times New Roman" w:eastAsia="Times New Roman" w:cs="Times New Roman"/>
      <w:b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 w:eastAsia="Times New Roman" w:cs="Times New Roman"/>
      <w:sz w:val="28"/>
    </w:rPr>
  </w:style>
  <w:style w:type="character" w:customStyle="1" w:styleId="HeaderChar">
    <w:name w:val="Header Char"/>
    <w:basedOn w:val="DefaultParagraphFont"/>
    <w:link w:val="Header"/>
    <w:uiPriority w:val="99"/>
    <w:rsid w:val="00E618BF"/>
    <w:rPr>
      <w:rFonts w:ascii="Times New Roman" w:hAnsi="Times New Roman" w:eastAsia="Times New Roman" w:cs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 w:eastAsia="Times New Roman" w:cs="Times New Roman"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E618BF"/>
    <w:rPr>
      <w:rFonts w:ascii="Times New Roman" w:hAnsi="Times New Roman" w:eastAsia="Times New Roman" w:cs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Times New Roman" w:hAnsi="Times New Roman" w:eastAsia="Times New Roman" w:cs="Times New Roman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Times New Roman" w:hAnsi="Times New Roman" w:eastAsia="Times New Roman" w:cs="Times New Roman"/>
      <w:b/>
      <w:bCs/>
      <w:color w:val="4F81BD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Times New Roman" w:hAnsi="Times New Roman" w:eastAsia="Times New Roman" w:cs="Times New Roman"/>
      <w:b/>
      <w:bCs/>
      <w:color w:val="4F81BD" w:themeColor="accent1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Times New Roman" w:hAnsi="Times New Roman" w:eastAsia="Times New Roman" w:cs="Times New Roman"/>
      <w:b/>
      <w:bCs/>
      <w:i/>
      <w:iCs/>
      <w:color w:val="4F81BD" w:themeColor="accent1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Times New Roman" w:hAnsi="Times New Roman" w:eastAsia="Times New Roman" w:cs="Times New Roman"/>
      <w:color w:val="243F60" w:themeColor="accent1" w:themeShade="7F"/>
      <w:sz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Times New Roman" w:hAnsi="Times New Roman" w:eastAsia="Times New Roman" w:cs="Times New Roman"/>
      <w:i/>
      <w:iCs/>
      <w:color w:val="243F60" w:themeColor="accent1" w:themeShade="7F"/>
      <w:sz w:val="28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Times New Roman" w:hAnsi="Times New Roman" w:eastAsia="Times New Roman" w:cs="Times New Roman"/>
      <w:i/>
      <w:iCs/>
      <w:color w:val="404040" w:themeColor="text1" w:themeTint="BF"/>
      <w:sz w:val="28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Times New Roman" w:hAnsi="Times New Roman" w:eastAsia="Times New Roman" w:cs="Times New Roman"/>
      <w:color w:val="4F81BD" w:themeColor="accent1"/>
      <w:sz w:val="28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Times New Roman" w:hAnsi="Times New Roman" w:eastAsia="Times New Roman" w:cs="Times New Roman"/>
      <w:i/>
      <w:iCs/>
      <w:color w:val="404040" w:themeColor="text1" w:themeTint="BF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  <w:rPr>
      <w:rFonts w:ascii="Times New Roman" w:hAnsi="Times New Roman" w:eastAsia="Times New Roman" w:cs="Times New Roman"/>
      <w:sz w:val="28"/>
    </w:rPr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  <w:rPr>
      <w:rFonts w:ascii="Times New Roman" w:hAnsi="Times New Roman" w:eastAsia="Times New Roman" w:cs="Times New Roman"/>
      <w:sz w:val="28"/>
    </w:r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="Times New Roman" w:hAnsi="Times New Roman" w:eastAsia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="Times New Roman" w:hAnsi="Times New Roman" w:eastAsia="Times New Roman" w:cs="Times New Roman"/>
      <w:b/>
      <w:bCs/>
      <w:color w:val="4F81BD" w:themeColor="accent1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="Times New Roman" w:hAnsi="Times New Roman" w:eastAsia="Times New Roman" w:cs="Times New Roman"/>
      <w:b/>
      <w:bCs/>
      <w:color w:val="4F81BD" w:themeColor="accent1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="Times New Roman" w:hAnsi="Times New Roman" w:eastAsia="Times New Roman" w:cs="Times New Roman"/>
      <w:color w:val="17365D" w:themeColor="text2" w:themeShade="BF"/>
      <w:spacing w:val="5"/>
      <w:kern w:val="28"/>
      <w:sz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="Times New Roman" w:hAnsi="Times New Roman" w:eastAsia="Times New Roman" w:cs="Times New Roman"/>
      <w:color w:val="17365D" w:themeColor="text2" w:themeShade="BF"/>
      <w:spacing w:val="5"/>
      <w:kern w:val="28"/>
      <w:sz w:val="28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="Times New Roman" w:hAnsi="Times New Roman" w:eastAsia="Times New Roman" w:cs="Times New Roman"/>
      <w:i/>
      <w:iCs/>
      <w:color w:val="4F81BD" w:themeColor="accent1"/>
      <w:spacing w:val="15"/>
      <w:sz w:val="28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="Times New Roman" w:hAnsi="Times New Roman" w:eastAsia="Times New Roman" w:cs="Times New Roman"/>
      <w:i/>
      <w:iCs/>
      <w:color w:val="4F81BD" w:themeColor="accent1"/>
      <w:spacing w:val="15"/>
      <w:sz w:val="28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  <w:rPr>
      <w:rFonts w:ascii="Times New Roman" w:hAnsi="Times New Roman" w:eastAsia="Times New Roman" w:cs="Times New Roman"/>
      <w:sz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  <w:rPr>
      <w:rFonts w:ascii="Times New Roman" w:hAnsi="Times New Roman" w:eastAsia="Times New Roman" w:cs="Times New Roman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rsid w:val="00AA1D8D"/>
    <w:rPr>
      <w:rFonts w:ascii="Times New Roman" w:hAnsi="Times New Roman" w:eastAsia="Times New Roman" w:cs="Times New Roman"/>
      <w:sz w:val="28"/>
    </w:rPr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  <w:rPr>
      <w:rFonts w:ascii="Times New Roman" w:hAnsi="Times New Roman" w:eastAsia="Times New Roman" w:cs="Times New Roman"/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rsid w:val="00AA1D8D"/>
    <w:rPr>
      <w:rFonts w:ascii="Times New Roman" w:hAnsi="Times New Roman" w:eastAsia="Times New Roman" w:cs="Times New Roman"/>
      <w:sz w:val="28"/>
    </w:rPr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rFonts w:ascii="Times New Roman" w:hAnsi="Times New Roman" w:eastAsia="Times New Roman" w:cs="Times New Roman"/>
      <w:sz w:val="28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rFonts w:ascii="Times New Roman" w:hAnsi="Times New Roman" w:eastAsia="Times New Roman" w:cs="Times New Roman"/>
      <w:sz w:val="28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  <w:rPr>
      <w:rFonts w:ascii="Times New Roman" w:hAnsi="Times New Roman" w:eastAsia="Times New Roman" w:cs="Times New Roman"/>
      <w:sz w:val="28"/>
    </w:r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  <w:rPr>
      <w:rFonts w:ascii="Times New Roman" w:hAnsi="Times New Roman" w:eastAsia="Times New Roman" w:cs="Times New Roman"/>
      <w:sz w:val="28"/>
    </w:r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  <w:rPr>
      <w:rFonts w:ascii="Times New Roman" w:hAnsi="Times New Roman" w:eastAsia="Times New Roman" w:cs="Times New Roman"/>
      <w:sz w:val="28"/>
    </w:r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Times New Roman" w:hAnsi="Times New Roman" w:eastAsia="Times New Roman" w:cs="Times New Roman"/>
      <w:sz w:val="28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  <w:rPr>
      <w:rFonts w:ascii="Times New Roman" w:hAnsi="Times New Roman" w:eastAsia="Times New Roman" w:cs="Times New Roman"/>
      <w:sz w:val="28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  <w:rPr>
      <w:rFonts w:ascii="Times New Roman" w:hAnsi="Times New Roman" w:eastAsia="Times New Roman" w:cs="Times New Roman"/>
      <w:sz w:val="28"/>
    </w:r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  <w:rPr>
      <w:rFonts w:ascii="Times New Roman" w:hAnsi="Times New Roman" w:eastAsia="Times New Roman" w:cs="Times New Roman"/>
      <w:sz w:val="28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  <w:rPr>
      <w:rFonts w:ascii="Times New Roman" w:hAnsi="Times New Roman" w:eastAsia="Times New Roman" w:cs="Times New Roman"/>
      <w:sz w:val="28"/>
    </w:r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  <w:rPr>
      <w:rFonts w:ascii="Times New Roman" w:hAnsi="Times New Roman" w:eastAsia="Times New Roman" w:cs="Times New Roman"/>
      <w:sz w:val="28"/>
    </w:r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  <w:rPr>
      <w:rFonts w:ascii="Times New Roman" w:hAnsi="Times New Roman" w:eastAsia="Times New Roman" w:cs="Times New Roman"/>
      <w:sz w:val="28"/>
    </w:r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  <w:rPr>
      <w:rFonts w:ascii="Times New Roman" w:hAnsi="Times New Roman" w:eastAsia="Times New Roman" w:cs="Times New Roman"/>
      <w:sz w:val="28"/>
    </w:r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  <w:rPr>
      <w:rFonts w:ascii="Times New Roman" w:hAnsi="Times New Roman" w:eastAsia="Times New Roman" w:cs="Times New Roman"/>
      <w:sz w:val="28"/>
    </w:r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hAnsi="Times New Roman" w:eastAsia="Times New Roman" w:cs="Times New Roman"/>
      <w:sz w:val="28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Times New Roman" w:hAnsi="Times New Roman" w:eastAsia="Times New Roman" w:cs="Times New Roman"/>
      <w:sz w:val="28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rFonts w:ascii="Times New Roman" w:hAnsi="Times New Roman" w:eastAsia="Times New Roman" w:cs="Times New Roman"/>
      <w:i/>
      <w:iCs/>
      <w:color w:val="000000" w:themeColor="text1"/>
      <w:sz w:val="28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rFonts w:ascii="Times New Roman" w:hAnsi="Times New Roman" w:eastAsia="Times New Roman" w:cs="Times New Roman"/>
      <w:i/>
      <w:iCs/>
      <w:color w:val="000000" w:themeColor="text1"/>
      <w:sz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="Times New Roman" w:hAnsi="Times New Roman" w:eastAsia="Times New Roman" w:cs="Times New Roman"/>
      <w:b/>
      <w:bCs/>
      <w:i/>
      <w:iCs/>
      <w:color w:val="4F81BD" w:themeColor="accen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="Times New Roman" w:hAnsi="Times New Roman" w:eastAsia="Times New Roman" w:cs="Times New Roman"/>
      <w:color w:val="243F60" w:themeColor="accent1" w:themeShade="7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="Times New Roman" w:hAnsi="Times New Roman" w:eastAsia="Times New Roman" w:cs="Times New Roman"/>
      <w:i/>
      <w:iCs/>
      <w:color w:val="243F60" w:themeColor="accent1" w:themeShade="7F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="Times New Roman" w:hAnsi="Times New Roman" w:eastAsia="Times New Roman" w:cs="Times New Roman"/>
      <w:i/>
      <w:iCs/>
      <w:color w:val="404040" w:themeColor="text1" w:themeTint="BF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="Times New Roman" w:hAnsi="Times New Roman" w:eastAsia="Times New Roman" w:cs="Times New Roman"/>
      <w:color w:val="4F81BD" w:themeColor="accent1"/>
      <w:sz w:val="28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="Times New Roman" w:hAnsi="Times New Roman" w:eastAsia="Times New Roman" w:cs="Times New Roman"/>
      <w:i/>
      <w:iCs/>
      <w:color w:val="404040" w:themeColor="text1" w:themeTint="BF"/>
      <w:sz w:val="28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rFonts w:ascii="Times New Roman" w:hAnsi="Times New Roman" w:eastAsia="Times New Roman" w:cs="Times New Roman"/>
      <w:b/>
      <w:bCs/>
      <w:color w:val="4F81BD" w:themeColor="accent1"/>
      <w:sz w:val="2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rFonts w:ascii="Times New Roman" w:hAnsi="Times New Roman" w:eastAsia="Times New Roman" w:cs="Times New Roman"/>
      <w:b/>
      <w:bCs/>
      <w:sz w:val="28"/>
    </w:rPr>
  </w:style>
  <w:style w:type="character" w:styleId="Emphasis">
    <w:name w:val="Emphasis"/>
    <w:basedOn w:val="DefaultParagraphFont"/>
    <w:uiPriority w:val="20"/>
    <w:qFormat/>
    <w:rsid w:val="00FC693F"/>
    <w:rPr>
      <w:rFonts w:ascii="Times New Roman" w:hAnsi="Times New Roman" w:eastAsia="Times New Roman" w:cs="Times New Roman"/>
      <w:i/>
      <w:iCs/>
      <w:sz w:val="28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rFonts w:ascii="Times New Roman" w:hAnsi="Times New Roman" w:eastAsia="Times New Roman" w:cs="Times New Roman"/>
      <w:b/>
      <w:bCs/>
      <w:i/>
      <w:iCs/>
      <w:color w:val="4F81BD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rFonts w:ascii="Times New Roman" w:hAnsi="Times New Roman" w:eastAsia="Times New Roman" w:cs="Times New Roman"/>
      <w:b/>
      <w:bCs/>
      <w:i/>
      <w:iCs/>
      <w:color w:val="4F81BD" w:themeColor="accent1"/>
      <w:sz w:val="28"/>
    </w:rPr>
  </w:style>
  <w:style w:type="character" w:styleId="SubtleEmphasis">
    <w:name w:val="Subtle Emphasis"/>
    <w:basedOn w:val="DefaultParagraphFont"/>
    <w:uiPriority w:val="19"/>
    <w:qFormat/>
    <w:rsid w:val="00FC693F"/>
    <w:rPr>
      <w:rFonts w:ascii="Times New Roman" w:hAnsi="Times New Roman" w:eastAsia="Times New Roman" w:cs="Times New Roman"/>
      <w:i/>
      <w:iCs/>
      <w:color w:val="808080" w:themeColor="text1" w:themeTint="7F"/>
      <w:sz w:val="28"/>
    </w:rPr>
  </w:style>
  <w:style w:type="character" w:styleId="IntenseEmphasis">
    <w:name w:val="Intense Emphasis"/>
    <w:basedOn w:val="DefaultParagraphFont"/>
    <w:uiPriority w:val="21"/>
    <w:qFormat/>
    <w:rsid w:val="00FC693F"/>
    <w:rPr>
      <w:rFonts w:ascii="Times New Roman" w:hAnsi="Times New Roman" w:eastAsia="Times New Roman" w:cs="Times New Roman"/>
      <w:b/>
      <w:bCs/>
      <w:i/>
      <w:iCs/>
      <w:color w:val="4F81BD" w:themeColor="accent1"/>
      <w:sz w:val="28"/>
    </w:rPr>
  </w:style>
  <w:style w:type="character" w:styleId="SubtleReference">
    <w:name w:val="Subtle Reference"/>
    <w:basedOn w:val="DefaultParagraphFont"/>
    <w:uiPriority w:val="31"/>
    <w:qFormat/>
    <w:rsid w:val="00FC693F"/>
    <w:rPr>
      <w:rFonts w:ascii="Times New Roman" w:hAnsi="Times New Roman" w:eastAsia="Times New Roman" w:cs="Times New Roman"/>
      <w:smallCaps/>
      <w:color w:val="C0504D" w:themeColor="accent2"/>
      <w:sz w:val="28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rFonts w:ascii="Times New Roman" w:hAnsi="Times New Roman" w:eastAsia="Times New Roman" w:cs="Times New Roman"/>
      <w:b/>
      <w:bCs/>
      <w:smallCaps/>
      <w:color w:val="C0504D" w:themeColor="accent2"/>
      <w:spacing w:val="5"/>
      <w:sz w:val="28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rFonts w:ascii="Times New Roman" w:hAnsi="Times New Roman" w:eastAsia="Times New Roman" w:cs="Times New Roman"/>
      <w:b/>
      <w:bCs/>
      <w:smallCaps/>
      <w:spacing w:val="5"/>
      <w:sz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>
      <w:rFonts w:ascii="Times New Roman" w:hAnsi="Times New Roman" w:eastAsia="Times New Roman" w:cs="Times New Roman"/>
      <w:sz w:val="28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Технические правила МСКЛ+, 6 сезон</dc:title>
  <dc:subject>Адаптация технических правил по предоставленным референсам</dc:subject>
  <dc:creator/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